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성인관 진행자 사용설명서</w:t>
      </w:r>
    </w:p>
    <w:p>
      <w:r>
        <w:t>수학 관련 교사와 교육자 및 검사 진행자가 콘텐츠를 검토하고 참여 코드를 운영하며 학습 기록을 해석하는 방법입니다.</w:t>
      </w:r>
    </w:p>
    <w:p>
      <w:pPr>
        <w:pStyle w:val="Heading1"/>
      </w:pPr>
      <w:r>
        <w:t>1 로그인과 권한을 확인하세요</w:t>
      </w:r>
    </w:p>
    <w:p>
      <w:pPr>
        <w:pStyle w:val="Heading2"/>
      </w:pPr>
      <w:r>
        <w:t>학생관과 같은 운영 흐름</w:t>
      </w:r>
    </w:p>
    <w:p>
      <w:r>
        <w:t>관리자는 학생관과 성인관에 공통 계정으로 로그인합니다. 교사와 진행자는 같은 이메일 계정을 사용할 수 있지만 학생관과 성인관의 이용 신청과 승인은 각각 별도입니다. 학생관 승인만으로 성인관 운영 권한이 생기지 않습니다.</w:t>
      </w:r>
    </w:p>
    <w:p>
      <w:pPr>
        <w:pStyle w:val="Heading2"/>
      </w:pPr>
      <w:r>
        <w:t>콘텐츠를 먼저 둘러보기</w:t>
      </w:r>
    </w:p>
    <w:p>
      <w:r>
        <w:t>성인관의 교사 로그인으로 들어옵니다. 관리자와 성인관 이용 신청을 마친 교사는 참여 코드 없이 교육 콘텐츠를 둘러볼 수 있습니다. 성인관 승인 대기 중인 신청자도 미리 볼 수 있습니다. 미리보기 활동은 실제 참여 기록으로 제출하지 않습니다.</w:t>
      </w:r>
    </w:p>
    <w:p>
      <w:pPr>
        <w:pStyle w:val="Heading2"/>
      </w:pPr>
      <w:r>
        <w:t>진행자로 신청하기</w:t>
      </w:r>
    </w:p>
    <w:p>
      <w:r>
        <w:t>처음 이용한다면 가입과 이메일 확인을 마칩니다. 학생관 계정이 있다면 재가입하지 말고 성인관 추가 이용 신청을 합니다. 성인관 신청 전에는 신청 안내가 먼저 보입니다. 실제 코드 발급과 참여 기록 운영은 성인관 승인을 받아야 가능합니다.</w:t>
      </w:r>
    </w:p>
    <w:p>
      <w:pPr>
        <w:pStyle w:val="Heading2"/>
      </w:pPr>
      <w:r>
        <w:t>운영 대시보드 열기</w:t>
      </w:r>
    </w:p>
    <w:p>
      <w:r>
        <w:t>성인관 진행자 운영 화면에서 승인된 계정으로 참여 코드와 성인 참여 기록을 확인합니다. 교사는 자신의 운영 범위에서 확인하고 관리자는 허용된 기록을 확인합니다. 교육 콘텐츠 열람 권한이 타인의 개인정보 열람 권한을 뜻하지 않습니다.</w:t>
      </w:r>
    </w:p>
    <w:p>
      <w:r>
        <w:br w:type="page"/>
      </w:r>
    </w:p>
    <w:p>
      <w:pPr>
        <w:pStyle w:val="Heading1"/>
      </w:pPr>
      <w:r>
        <w:t>2 참여 준비와 접근 조건을 정하세요</w:t>
      </w:r>
    </w:p>
    <w:p>
      <w:pPr>
        <w:pStyle w:val="Heading2"/>
      </w:pPr>
      <w:r>
        <w:t>코드 만들고 전달하기</w:t>
      </w:r>
    </w:p>
    <w:p>
      <w:r>
        <w:t>참여 코드에서 그룹 이름을 입력하고 새 참여 코드 만들기를 누릅니다. 코드 복사로 성인 참여자에게 전달합니다. 이름 대신 약속한 이름을 사용할지와 지역 입력 범위를 먼저 정합니다. 참여자 정보는 꼭 필요한 만큼만 수집합니다.</w:t>
      </w:r>
    </w:p>
    <w:p>
      <w:pPr>
        <w:pStyle w:val="Heading2"/>
      </w:pPr>
      <w:r>
        <w:t>동의 설명하기</w:t>
      </w:r>
    </w:p>
    <w:p>
      <w:r>
        <w:t>운영을 위한 필수 동의와 선택적인 비식별 연구 동의를 따로 설명합니다. 연구 동의 거부로 교육 참여에 불이익을 주지 않습니다. 연구 목적의 사용은 별도의 적법한 절차와 필요한 심의를 확인합니다.</w:t>
      </w:r>
    </w:p>
    <w:p>
      <w:pPr>
        <w:pStyle w:val="Heading2"/>
      </w:pPr>
      <w:r>
        <w:t>배경에 맞춰 검토하기</w:t>
      </w:r>
    </w:p>
    <w:p>
      <w:r>
        <w:t>주 사용 언어와 읽기 경험 및 수학교육 기회와 직무 경험을 확인합니다. 익숙하지 않은 문서나 디지털 조작 또는 수학 불안이 반응에 미치는 영향을 따로 살핍니다. 배경 집단에 따라 능력을 미리 단정하지 않습니다.</w:t>
      </w:r>
    </w:p>
    <w:p>
      <w:pPr>
        <w:pStyle w:val="Heading2"/>
      </w:pPr>
      <w:r>
        <w:t>지원 조건 기록하기</w:t>
      </w:r>
    </w:p>
    <w:p>
      <w:r>
        <w:t>20px부터 32px까지 글자 크기와 10개 화면 언어를 활용합니다. 번역과 읽어주기 및 기본 계산기 사용을 수학 힌트와 구분해 기록합니다. 접근 지원 자체를 감점 사유로 삼지 않습니다. 번역본의 의미가 중요한 경우 해당 언어 사용자가 확인하도록 합니다.</w:t>
      </w:r>
    </w:p>
    <w:p>
      <w:r>
        <w:br w:type="page"/>
      </w:r>
    </w:p>
    <w:p>
      <w:pPr>
        <w:pStyle w:val="Heading1"/>
      </w:pPr>
      <w:r>
        <w:t>3 생활 과제와 기록을 함께 살피세요</w:t>
      </w:r>
    </w:p>
    <w:p>
      <w:pPr>
        <w:pStyle w:val="Heading2"/>
      </w:pPr>
      <w:r>
        <w:t>시작 과제 선택하기</w:t>
      </w:r>
    </w:p>
    <w:p>
      <w:r>
        <w:t>생활에서 선택하기에서 당사자의 목표에 맞는 과제 하나부터 시작합니다. 급여와 세금 및 시간 계산을 펼쳐 입력값과 단위 및 가정을 확인하게 합니다. 세액과 법정 수당의 확정 계산 또는 전문 세무 상담으로 사용하지 않습니다.</w:t>
      </w:r>
    </w:p>
    <w:p>
      <w:pPr>
        <w:pStyle w:val="Heading2"/>
      </w:pPr>
      <w:r>
        <w:t>응답보다 과정 확인하기</w:t>
      </w:r>
    </w:p>
    <w:p>
      <w:r>
        <w:t>정답뿐 아니라 이유와 문서 읽기 및 단위 확인 과정을 살핍니다. 계산 과정 보기를 먼저 열었는지와 이전 공개 여부 및 사용한 도움을 남깁니다. 지원 전후의 조건이 다른 결과를 단순 향상률로 바꾸지 않습니다.</w:t>
      </w:r>
    </w:p>
    <w:p>
      <w:pPr>
        <w:pStyle w:val="Heading2"/>
      </w:pPr>
      <w:r>
        <w:t>후속 활동 정하기</w:t>
      </w:r>
    </w:p>
    <w:p>
      <w:r>
        <w:t>작은 연습실이나 나에게 맞춘 연습을 선택하고 며칠 뒤 다시 풀기로 다시 확인합니다. 일정과 공개 여부 및 언어와 도구 조건을 함께 해석합니다. 이 도구만으로 임상 진단이나 자격 및 고용 판단을 하지 않습니다.</w:t>
      </w:r>
    </w:p>
    <w:p>
      <w:pPr>
        <w:pStyle w:val="Heading2"/>
      </w:pPr>
      <w:r>
        <w:t>문서를 불러올 때 확인하기</w:t>
      </w:r>
    </w:p>
    <w:p>
      <w:r>
        <w:t>문서와 인쇄에서 PDF와 DOCX 및 HWPX 등 지원되는 문서의 내용을 읽을 수 있습니다. 추출 결과와 원문 위치를 확인하고 본인이 확인한 항목만 적용합니다. 스캔 파일이나 복잡한 표는 수동 확인이 필요합니다. 문서 관찰을 처음 보는 독립 점검 응답으로 간주하지 않습니다.</w:t>
      </w:r>
    </w:p>
    <w:p>
      <w:r>
        <w:br w:type="page"/>
      </w:r>
    </w:p>
    <w:p>
      <w:pPr>
        <w:pStyle w:val="Heading1"/>
      </w:pPr>
      <w:r>
        <w:t>4 제출과 개인정보를 관리하세요</w:t>
      </w:r>
    </w:p>
    <w:p>
      <w:pPr>
        <w:pStyle w:val="Heading2"/>
      </w:pPr>
      <w:r>
        <w:t>참여자가 제출 내용을 확인하기</w:t>
      </w:r>
    </w:p>
    <w:p>
      <w:r>
        <w:t>내 학습 기록을 함께 읽고 배경정보 포함 여부를 참여자가 정하게 합니다. 학습 기록 제출을 눌러야 작성한 보고서가 전송됩니다. 시작 시에는 이름과 지역 및 동의 정보가 운영 기록으로 저장됩니다. 원본 문서 파일은 서버로 전송하지 않습니다.</w:t>
      </w:r>
    </w:p>
    <w:p>
      <w:pPr>
        <w:pStyle w:val="Heading2"/>
      </w:pPr>
      <w:r>
        <w:t>대시보드에서 기록 확인하기</w:t>
      </w:r>
    </w:p>
    <w:p>
      <w:r>
        <w:t>성인 참여 기록에서 제출 완료와 진행 중 상태를 구분합니다. 학습 기록 보기로 제출된 내용을 읽습니다. 미응답을 오답이나 능력 부족으로 처리하지 않습니다. 코드 사용 횟수나 참여 건수를 사람 수와 같다고 단정하지 않습니다.</w:t>
      </w:r>
    </w:p>
    <w:p>
      <w:pPr>
        <w:pStyle w:val="Heading2"/>
      </w:pPr>
      <w:r>
        <w:t>코드 종료와 보관 관리</w:t>
      </w:r>
    </w:p>
    <w:p>
      <w:r>
        <w:t>코드 사용 종료는 해당 코드의 새 참여와 추가 제출을 종료합니다. 참여가 끝나기 전에 종료하지 않도록 확인합니다. 기존 기록 삭제와는 다른 동작입니다. 자료는 교육 목적에 필요한 기간만 보관하고 삭제 및 동의 철회 요청을 처리합니다.</w:t>
      </w:r>
    </w:p>
    <w:p>
      <w:pPr>
        <w:pStyle w:val="Heading2"/>
      </w:pPr>
      <w:r>
        <w:t>다음 교육 행동 정하기</w:t>
      </w:r>
    </w:p>
    <w:p>
      <w:r>
        <w:t>급여명세서의 어느 항목을 다시 읽을지 또는 어떤 단위를 확인할지처럼 구체적인 다음 행동을 함께 정합니다. 결과를 다른 사람과 비교해 등급화하지 않습니다. 계정과 참여 코드를 공개 게시판에 올리지 말고 작업 후 로그아웃합니다.</w:t>
      </w:r>
    </w:p>
    <w:sectPr w:rsidR="00FC693F" w:rsidRPr="0006063C" w:rsidSect="00034616">
      <w:headerReference w:type="default" r:id="rId9"/>
      <w:footerReference w:type="default" r:id="rId10"/>
      <w:pgSz w:w="12240" w:h="15840"/>
      <w:pgMar w:top="936" w:right="1008" w:bottom="936" w:left="1008" w:header="360" w:footer="50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20"/>
      </w:rPr>
      <w:t xml:space="preserve">mckayclinic.kr  |  2026년 10월 18일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McKay 수학클리닉 성인관</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napToGrid w:val="0"/>
      <w:spacing w:line="440" w:lineRule="exact" w:after="140"/>
    </w:pPr>
    <w:rPr>
      <w:rFonts w:ascii="Research Sans KR" w:hAnsi="Research Sans KR" w:eastAsia="Research Sans KR"/>
      <w:b w:val="0"/>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snapToGrid w:val="0"/>
    </w:pPr>
    <w:rPr>
      <w:rFonts w:ascii="Research Sans KR" w:hAnsi="Research Sans KR" w:eastAsia="Research Sans KR"/>
      <w:b w:val="0"/>
      <w:color w:val="000000"/>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snapToGrid w:val="0"/>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240"/>
      <w:outlineLvl w:val="0"/>
      <w:snapToGrid w:val="0"/>
    </w:pPr>
    <w:rPr>
      <w:rFonts w:asciiTheme="majorHAnsi" w:eastAsiaTheme="majorEastAsia" w:hAnsiTheme="majorHAnsi" w:cstheme="majorBidi" w:ascii="Research Sans KR" w:hAnsi="Research Sans KR" w:eastAsia="Research Sans KR"/>
      <w:b/>
      <w:bCs/>
      <w:color w:val="000000"/>
      <w:sz w:val="44"/>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snapToGrid w:val="0"/>
    </w:pPr>
    <w:rPr>
      <w:rFonts w:asciiTheme="majorHAnsi" w:eastAsiaTheme="majorEastAsia" w:hAnsiTheme="majorHAnsi" w:cstheme="majorBidi" w:ascii="Research Sans KR" w:hAnsi="Research Sans KR" w:eastAsia="Research Sans KR"/>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snapToGrid w:val="0"/>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snapToGrid w:val="0"/>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snapToGrid w:val="0"/>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snapToGrid w:val="0"/>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snapToGrid w:val="0"/>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snapToGrid w:val="0"/>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snapToGrid w:val="0"/>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snapToGrid w:val="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snapToGrid w:val="0"/>
    </w:pPr>
    <w:rPr>
      <w:rFonts w:asciiTheme="majorHAnsi" w:eastAsiaTheme="majorEastAsia" w:hAnsiTheme="majorHAnsi" w:cstheme="majorBidi" w:ascii="Research Sans KR" w:hAnsi="Research Sans KR" w:eastAsia="Research Sans KR"/>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napToGrid w:val="0"/>
    </w:pPr>
    <w:rPr>
      <w:rFonts w:asciiTheme="majorHAnsi" w:eastAsiaTheme="majorEastAsia" w:hAnsiTheme="majorHAnsi" w:cstheme="majorBidi" w:ascii="Research Sans KR" w:hAnsi="Research Sans KR" w:eastAsia="Research Sans KR"/>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snapToGrid w:val="0"/>
    </w:pPr>
  </w:style>
  <w:style w:type="paragraph" w:styleId="BodyText">
    <w:name w:val="Body Text"/>
    <w:basedOn w:val="Normal"/>
    <w:link w:val="BodyTextChar"/>
    <w:uiPriority w:val="99"/>
    <w:unhideWhenUsed/>
    <w:rsid w:val="00AA1D8D"/>
    <w:pPr>
      <w:spacing w:after="120"/>
      <w:snapToGrid w:val="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snapToGrid w:val="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snapToGrid w:val="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snapToGrid w:val="0"/>
    </w:pPr>
  </w:style>
  <w:style w:type="paragraph" w:styleId="List2">
    <w:name w:val="List 2"/>
    <w:basedOn w:val="Normal"/>
    <w:uiPriority w:val="99"/>
    <w:unhideWhenUsed/>
    <w:rsid w:val="00326F90"/>
    <w:pPr>
      <w:ind w:left="720" w:hanging="360"/>
      <w:contextualSpacing/>
      <w:snapToGrid w:val="0"/>
    </w:pPr>
  </w:style>
  <w:style w:type="paragraph" w:styleId="List3">
    <w:name w:val="List 3"/>
    <w:basedOn w:val="Normal"/>
    <w:uiPriority w:val="99"/>
    <w:unhideWhenUsed/>
    <w:rsid w:val="00326F90"/>
    <w:pPr>
      <w:ind w:left="1080" w:hanging="360"/>
      <w:contextualSpacing/>
      <w:snapToGrid w:val="0"/>
    </w:pPr>
  </w:style>
  <w:style w:type="paragraph" w:styleId="ListBullet">
    <w:name w:val="List Bullet"/>
    <w:basedOn w:val="Normal"/>
    <w:uiPriority w:val="99"/>
    <w:unhideWhenUsed/>
    <w:rsid w:val="00326F90"/>
    <w:pPr>
      <w:numPr>
        <w:numId w:val="1"/>
      </w:numPr>
      <w:contextualSpacing/>
      <w:snapToGrid w:val="0"/>
    </w:pPr>
  </w:style>
  <w:style w:type="paragraph" w:styleId="ListBullet2">
    <w:name w:val="List Bullet 2"/>
    <w:basedOn w:val="Normal"/>
    <w:uiPriority w:val="99"/>
    <w:unhideWhenUsed/>
    <w:rsid w:val="00326F90"/>
    <w:pPr>
      <w:numPr>
        <w:numId w:val="2"/>
      </w:numPr>
      <w:contextualSpacing/>
      <w:snapToGrid w:val="0"/>
    </w:pPr>
  </w:style>
  <w:style w:type="paragraph" w:styleId="ListBullet3">
    <w:name w:val="List Bullet 3"/>
    <w:basedOn w:val="Normal"/>
    <w:uiPriority w:val="99"/>
    <w:unhideWhenUsed/>
    <w:rsid w:val="00326F90"/>
    <w:pPr>
      <w:numPr>
        <w:numId w:val="3"/>
      </w:numPr>
      <w:contextualSpacing/>
      <w:snapToGrid w:val="0"/>
    </w:pPr>
  </w:style>
  <w:style w:type="paragraph" w:styleId="ListNumber">
    <w:name w:val="List Number"/>
    <w:basedOn w:val="Normal"/>
    <w:uiPriority w:val="99"/>
    <w:unhideWhenUsed/>
    <w:rsid w:val="00326F90"/>
    <w:pPr>
      <w:numPr>
        <w:numId w:val="5"/>
      </w:numPr>
      <w:contextualSpacing/>
      <w:snapToGrid w:val="0"/>
    </w:pPr>
  </w:style>
  <w:style w:type="paragraph" w:styleId="ListNumber2">
    <w:name w:val="List Number 2"/>
    <w:basedOn w:val="Normal"/>
    <w:uiPriority w:val="99"/>
    <w:unhideWhenUsed/>
    <w:rsid w:val="0029639D"/>
    <w:pPr>
      <w:numPr>
        <w:numId w:val="6"/>
      </w:numPr>
      <w:contextualSpacing/>
      <w:snapToGrid w:val="0"/>
    </w:pPr>
  </w:style>
  <w:style w:type="paragraph" w:styleId="ListNumber3">
    <w:name w:val="List Number 3"/>
    <w:basedOn w:val="Normal"/>
    <w:uiPriority w:val="99"/>
    <w:unhideWhenUsed/>
    <w:rsid w:val="0029639D"/>
    <w:pPr>
      <w:numPr>
        <w:numId w:val="7"/>
      </w:numPr>
      <w:contextualSpacing/>
      <w:snapToGrid w:val="0"/>
    </w:pPr>
  </w:style>
  <w:style w:type="paragraph" w:styleId="ListContinue">
    <w:name w:val="List Continue"/>
    <w:basedOn w:val="Normal"/>
    <w:uiPriority w:val="99"/>
    <w:unhideWhenUsed/>
    <w:rsid w:val="0029639D"/>
    <w:pPr>
      <w:spacing w:after="120"/>
      <w:ind w:left="360"/>
      <w:contextualSpacing/>
      <w:snapToGrid w:val="0"/>
    </w:pPr>
  </w:style>
  <w:style w:type="paragraph" w:styleId="ListContinue2">
    <w:name w:val="List Continue 2"/>
    <w:basedOn w:val="Normal"/>
    <w:uiPriority w:val="99"/>
    <w:unhideWhenUsed/>
    <w:rsid w:val="0029639D"/>
    <w:pPr>
      <w:spacing w:after="120"/>
      <w:ind w:left="720"/>
      <w:contextualSpacing/>
      <w:snapToGrid w:val="0"/>
    </w:pPr>
  </w:style>
  <w:style w:type="paragraph" w:styleId="ListContinue3">
    <w:name w:val="List Continue 3"/>
    <w:basedOn w:val="Normal"/>
    <w:uiPriority w:val="99"/>
    <w:unhideWhenUsed/>
    <w:rsid w:val="0029639D"/>
    <w:pPr>
      <w:spacing w:after="120"/>
      <w:ind w:left="1080"/>
      <w:contextualSpacing/>
      <w:snapToGrid w:val="0"/>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napToGrid w:val="0"/>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napToGrid w:val="0"/>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snapToGrid w:val="0"/>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snapToGrid w:val="0"/>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snapToGrid w:val="0"/>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