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성인관 참여자 사용설명서</w:t>
      </w:r>
    </w:p>
    <w:p>
      <w:r>
        <w:t>진행자에게 받은 코드로 참여하고 생활 속 수학을 연습한 뒤 공유할 기록을 직접 선택하는 방법입니다.</w:t>
      </w:r>
    </w:p>
    <w:p>
      <w:pPr>
        <w:pStyle w:val="Heading1"/>
      </w:pPr>
      <w:r>
        <w:t>1 참여하기 전에 알아두세요</w:t>
      </w:r>
    </w:p>
    <w:p>
      <w:pPr>
        <w:pStyle w:val="Heading2"/>
      </w:pPr>
      <w:r>
        <w:t>이곳에서 하는 일</w:t>
      </w:r>
    </w:p>
    <w:p>
      <w:r>
        <w:t>급여명세서 읽기와 금액 비교 및 시간 계산처럼 일상에서 만나는 수학을 살펴봅니다. 풀이와 사용한 도움을 함께 기록하며 다음 연습을 정합니다. 이 도구는 교육용입니다. 의학적 진단이나 장애 판정을 하지 않습니다.</w:t>
      </w:r>
    </w:p>
    <w:p>
      <w:pPr>
        <w:pStyle w:val="Heading2"/>
      </w:pPr>
      <w:r>
        <w:t>성인관으로 들어오기</w:t>
      </w:r>
    </w:p>
    <w:p>
      <w:r>
        <w:t>mckayclinic.kr 첫 화면에서 성인관을 선택합니다. 학생관으로 잘못 들어갔다면 관 선택으로 돌아가기를 누릅니다. 참여자는 진행자에게 받은 5자리 성인 참여 코드를 사용합니다.</w:t>
      </w:r>
    </w:p>
    <w:p>
      <w:pPr>
        <w:pStyle w:val="Heading2"/>
      </w:pPr>
      <w:r>
        <w:t>동의를 나누어 확인하기</w:t>
      </w:r>
    </w:p>
    <w:p>
      <w:r>
        <w:t>이름 또는 진행자와 약속한 이름과 지역을 입력합니다. 필수 개인정보 수집 및 이용 동의 내용을 읽습니다. 비식별 연구 활용 동의는 선택입니다. 선택하지 않아도 참여할 수 있습니다.</w:t>
      </w:r>
    </w:p>
    <w:p>
      <w:pPr>
        <w:pStyle w:val="Heading2"/>
      </w:pPr>
      <w:r>
        <w:t>시작하기</w:t>
      </w:r>
    </w:p>
    <w:p>
      <w:r>
        <w:t>성인 참여 코드를 입력한 뒤 코드 확인 후 시작을 누릅니다. 코드가 맞지 않거나 종료되었다면 진행자에게 확인합니다. 다른 사람의 코드나 이름을 임의로 사용하지 않습니다.</w:t>
      </w:r>
    </w:p>
    <w:p>
      <w:r>
        <w:br w:type="page"/>
      </w:r>
    </w:p>
    <w:p>
      <w:pPr>
        <w:pStyle w:val="Heading1"/>
      </w:pPr>
      <w:r>
        <w:t>2 편한 조건에서 시작하세요</w:t>
      </w:r>
    </w:p>
    <w:p>
      <w:pPr>
        <w:pStyle w:val="Heading2"/>
      </w:pPr>
      <w:r>
        <w:t>글자와 언어 바꾸기</w:t>
      </w:r>
    </w:p>
    <w:p>
      <w:r>
        <w:t>글자 크기는 20px와 24px 및 28px와 32px 중 고를 수 있습니다. 화면의 언어 선택에서 10개 언어를 사용할 수 있습니다. 이 안내문과 한국어 영상 및 기존 인쇄 활동집은 한국어 원본입니다.</w:t>
      </w:r>
    </w:p>
    <w:p>
      <w:pPr>
        <w:pStyle w:val="Heading2"/>
      </w:pPr>
      <w:r>
        <w:t>나의 배경정보 적기</w:t>
      </w:r>
    </w:p>
    <w:p>
      <w:r>
        <w:t>나의 배경정보 적기에서 주로 쓰는 언어와 학습 경험 및 생활 목표를 적을 수 있습니다. 꼭 필요한 만큼만 적습니다. 병명이나 주민등록번호 또는 계좌번호와 같은 민감한 정보는 적지 않습니다.</w:t>
      </w:r>
    </w:p>
    <w:p>
      <w:pPr>
        <w:pStyle w:val="Heading2"/>
      </w:pPr>
      <w:r>
        <w:t>필요한 도움 말하기</w:t>
      </w:r>
    </w:p>
    <w:p>
      <w:r>
        <w:t>문장을 읽어주기나 번역 또는 계산기 사용이 필요하면 진행자에게 말합니다. 사용한 언어와 읽기 지원 및 도구 조건을 함께 기록합니다. 접근 지원을 사용했다는 이유로 감점하지 않습니다.</w:t>
      </w:r>
    </w:p>
    <w:p>
      <w:pPr>
        <w:pStyle w:val="Heading2"/>
      </w:pPr>
      <w:r>
        <w:t>부담이 크면 잠시 멈추기</w:t>
      </w:r>
    </w:p>
    <w:p>
      <w:r>
        <w:t>급하게 정답을 맞히기보다 어떻게 생각했는지를 살펴봅니다. 불편하면 쉬거나 활동을 바꿉니다. 익숙하지 않은 언어나 문서 형식 때문에 어려운 것인지도 함께 확인합니다.</w:t>
      </w:r>
    </w:p>
    <w:p>
      <w:r>
        <w:br w:type="page"/>
      </w:r>
    </w:p>
    <w:p>
      <w:pPr>
        <w:pStyle w:val="Heading1"/>
      </w:pPr>
      <w:r>
        <w:t>3 생활 과제를 연습하세요</w:t>
      </w:r>
    </w:p>
    <w:p>
      <w:pPr>
        <w:pStyle w:val="Heading2"/>
      </w:pPr>
      <w:r>
        <w:t>생활에서 선택하기</w:t>
      </w:r>
    </w:p>
    <w:p>
      <w:r>
        <w:t>생활에서 선택하기를 열어 지금 필요한 장면을 고릅니다. 문제의 금액과 단위 및 조건을 확인하고 자신의 계산과 이유를 적습니다. 계산 과정 보기를 먼저 열었다면 예시를 본 조건으로 기록됩니다.</w:t>
      </w:r>
    </w:p>
    <w:p>
      <w:pPr>
        <w:pStyle w:val="Heading2"/>
      </w:pPr>
      <w:r>
        <w:t>급여와 세금 및 시간 계산</w:t>
      </w:r>
    </w:p>
    <w:p>
      <w:r>
        <w:t>급여와 세금 및 시간 계산을 펼치면 입력한 지급액과 공제액 또는 세율 및 근무시간을 이용해 계산을 연습할 수 있습니다. 결과는 입력한 조건의 교육용 계산입니다. 실제 세액이나 법정 급여를 확정하지 않습니다.</w:t>
      </w:r>
    </w:p>
    <w:p>
      <w:pPr>
        <w:pStyle w:val="Heading2"/>
      </w:pPr>
      <w:r>
        <w:t>작은 연습과 후속 확인</w:t>
      </w:r>
    </w:p>
    <w:p>
      <w:r>
        <w:t>수학 탐색 12문항이나 작은 연습실에서 필요한 내용을 연습할 수 있습니다. 생활 과제를 기록한 뒤 며칠 뒤 다시 풀기에서 다시 확인합니다. 전에 본 문항인지와 받은 도움을 표시합니다.</w:t>
      </w:r>
    </w:p>
    <w:p>
      <w:pPr>
        <w:pStyle w:val="Heading2"/>
      </w:pPr>
      <w:r>
        <w:t>서로 다른 조건은 함께 살피기</w:t>
      </w:r>
    </w:p>
    <w:p>
      <w:r>
        <w:t>언어와 도구 및 공개 여부가 다르면 결과를 단순 비교하지 않습니다. 하루의 결과만으로 수학 능력 전체를 판단하지 않습니다. 다음 생활 장면에서 사용할 방법을 진행자와 정합니다.</w:t>
      </w:r>
    </w:p>
    <w:p>
      <w:r>
        <w:br w:type="page"/>
      </w:r>
    </w:p>
    <w:p>
      <w:pPr>
        <w:pStyle w:val="Heading1"/>
      </w:pPr>
      <w:r>
        <w:t>4 내 기록을 확인하고 공유하세요</w:t>
      </w:r>
    </w:p>
    <w:p>
      <w:pPr>
        <w:pStyle w:val="Heading2"/>
      </w:pPr>
      <w:r>
        <w:t>학습 기록 확인하기</w:t>
      </w:r>
    </w:p>
    <w:p>
      <w:r>
        <w:t>내 학습 기록에서 풀이와 사용 조건을 확인합니다. 배경정보는 포함하기로 선택한 경우에만 보고서에 들어갑니다. 제출하기 전에 불필요한 개인정보가 들어 있지 않은지 확인합니다.</w:t>
      </w:r>
    </w:p>
    <w:p>
      <w:pPr>
        <w:pStyle w:val="Heading2"/>
      </w:pPr>
      <w:r>
        <w:t>공유는 제출 버튼으로</w:t>
      </w:r>
    </w:p>
    <w:p>
      <w:r>
        <w:t>학습 기록 제출을 눌러야 작성한 학습 기록이 진행자에게 전송됩니다. 참여 때 입력한 이름과 지역 및 동의 정보는 시작 시 운영을 위해 저장됩니다. 진행자와 관리자가 해당 기록을 열람할 수 있습니다.</w:t>
      </w:r>
    </w:p>
    <w:p>
      <w:pPr>
        <w:pStyle w:val="Heading2"/>
      </w:pPr>
      <w:r>
        <w:t>문서와 기록 내려받기</w:t>
      </w:r>
    </w:p>
    <w:p>
      <w:r>
        <w:t>문서와 인쇄에서 활동집을 내려받거나 작성한 문서를 읽어올 수 있습니다. 읽어온 내용은 화면에서 확인한 항목만 적용합니다. 원본 문서 파일은 서버로 전송하지 않습니다. 기기를 떠나기 전에 필요한 학습 기록을 내려받습니다.</w:t>
      </w:r>
    </w:p>
    <w:p>
      <w:pPr>
        <w:pStyle w:val="Heading2"/>
      </w:pPr>
      <w:r>
        <w:t>마무리와 문의</w:t>
      </w:r>
    </w:p>
    <w:p>
      <w:r>
        <w:t>관 선택으로 돌아가기를 누르면 현재 참여를 마칩니다. 창이나 탭을 닫은 뒤에는 제출하지 않은 기록을 이어가지 못할 수 있습니다. 코드 문제와 제출 여부 또는 삭제 및 동의 철회 요청은 진행자에게 문의합니다.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360" w:footer="50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20"/>
      </w:rPr>
      <w:t xml:space="preserve">mckayclinic.kr  |  2026년 10월 18일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McKay 수학클리닉 성인관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napToGrid w:val="0"/>
      <w:spacing w:line="440" w:lineRule="exact" w:after="140"/>
    </w:pPr>
    <w:rPr>
      <w:rFonts w:ascii="Research Sans KR" w:hAnsi="Research Sans KR" w:eastAsia="Research Sans KR"/>
      <w:b w:val="0"/>
      <w:color w:val="000000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  <w:snapToGrid w:val="0"/>
    </w:pPr>
    <w:rPr>
      <w:rFonts w:ascii="Research Sans KR" w:hAnsi="Research Sans KR" w:eastAsia="Research Sans KR"/>
      <w:b w:val="0"/>
      <w:color w:val="000000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240"/>
      <w:outlineLvl w:val="0"/>
      <w:snapToGrid w:val="0"/>
    </w:pPr>
    <w:rPr>
      <w:rFonts w:asciiTheme="majorHAnsi" w:eastAsiaTheme="majorEastAsia" w:hAnsiTheme="majorHAnsi" w:cstheme="majorBidi" w:ascii="Research Sans KR" w:hAnsi="Research Sans KR" w:eastAsia="Research Sans KR"/>
      <w:b/>
      <w:bCs/>
      <w:color w:val="000000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  <w:snapToGrid w:val="0"/>
    </w:pPr>
    <w:rPr>
      <w:rFonts w:asciiTheme="majorHAnsi" w:eastAsiaTheme="majorEastAsia" w:hAnsiTheme="majorHAnsi" w:cstheme="majorBidi" w:ascii="Research Sans KR" w:hAnsi="Research Sans KR" w:eastAsia="Research Sans KR"/>
      <w:b/>
      <w:bCs/>
      <w:color w:val="000000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  <w:snapToGrid w:val="0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  <w:snapToGrid w:val="0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  <w:snapToGrid w:val="0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  <w:snapToGrid w:val="0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  <w:snapToGrid w:val="0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  <w:snapToGrid w:val="0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  <w:snapToGrid w:val="0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  <w:snapToGrid w:val="0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  <w:snapToGrid w:val="0"/>
    </w:pPr>
    <w:rPr>
      <w:rFonts w:asciiTheme="majorHAnsi" w:eastAsiaTheme="majorEastAsia" w:hAnsiTheme="majorHAnsi" w:cstheme="majorBidi" w:ascii="Research Sans KR" w:hAnsi="Research Sans KR" w:eastAsia="Research Sans KR"/>
      <w:b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napToGrid w:val="0"/>
    </w:pPr>
    <w:rPr>
      <w:rFonts w:asciiTheme="majorHAnsi" w:eastAsiaTheme="majorEastAsia" w:hAnsiTheme="majorHAnsi" w:cstheme="majorBidi" w:ascii="Research Sans KR" w:hAnsi="Research Sans KR" w:eastAsia="Research Sans KR"/>
      <w:b w:val="0"/>
      <w:i/>
      <w:iCs/>
      <w:color w:val="000000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  <w:snapToGrid w:val="0"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  <w:snapToGrid w:val="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  <w:snapToGrid w:val="0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  <w:snapToGrid w:val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  <w:snapToGrid w:val="0"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  <w:snapToGrid w:val="0"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  <w:snapToGrid w:val="0"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napToGrid w:val="0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  <w:snapToGrid w:val="0"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  <w:snapToGrid w:val="0"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napToGrid w:val="0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  <w:snapToGrid w:val="0"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  <w:snapToGrid w:val="0"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  <w:snapToGrid w:val="0"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  <w:snapToGrid w:val="0"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  <w:snapToGrid w:val="0"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napToGrid w:val="0"/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napToGrid w:val="0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  <w:snapToGrid w:val="0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  <w:snapToGrid w:val="0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  <w:snapToGrid w:val="0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